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9F872" w14:textId="77777777" w:rsidR="001B1059" w:rsidRDefault="001B1059" w:rsidP="001B1059">
      <w:pPr>
        <w:pStyle w:val="EducationDocsTitle"/>
        <w:rPr>
          <w:rFonts w:eastAsia="Times New Roman"/>
        </w:rPr>
      </w:pPr>
      <w:r w:rsidRPr="001B1059">
        <w:rPr>
          <w:rFonts w:eastAsia="Times New Roman"/>
        </w:rPr>
        <w:t>Time Capsule 21 Activity: A Day in the Life of Warhol</w:t>
      </w:r>
    </w:p>
    <w:p w14:paraId="41FD090D" w14:textId="77777777" w:rsidR="00991EDD" w:rsidRDefault="00991EDD" w:rsidP="00991EDD"/>
    <w:p w14:paraId="2351172F" w14:textId="77777777" w:rsidR="00991EDD" w:rsidRPr="003C2E52" w:rsidRDefault="00991EDD" w:rsidP="00991EDD">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8F32948" w14:textId="77777777" w:rsidR="00991EDD" w:rsidRPr="00991EDD" w:rsidRDefault="00991EDD" w:rsidP="00991EDD">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2383ACBD" w14:textId="77777777" w:rsidR="00E113A9" w:rsidRDefault="00E113A9"/>
    <w:p w14:paraId="0D8692A0" w14:textId="77777777" w:rsidR="001B1059" w:rsidRDefault="001B1059" w:rsidP="001B1059">
      <w:pPr>
        <w:jc w:val="center"/>
      </w:pPr>
      <w:r>
        <w:rPr>
          <w:noProof/>
        </w:rPr>
        <w:drawing>
          <wp:inline distT="0" distB="0" distL="0" distR="0" wp14:anchorId="275338D6" wp14:editId="3EB82A68">
            <wp:extent cx="3236976" cy="3200400"/>
            <wp:effectExtent l="0" t="0" r="0" b="0"/>
            <wp:docPr id="1" name="Picture 1" descr="A worn, brown cardboard box sits against a white background. It had been sealed with silver duct tape, but it has been opened. The number “21” is written in red pen on top of the box. There is also minimal additional writing on the side of the box in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TC21-123_int_01-PowerPoint Ready (1000px longest edge - internal use onl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6976" cy="3200400"/>
                    </a:xfrm>
                    <a:prstGeom prst="rect">
                      <a:avLst/>
                    </a:prstGeom>
                    <a:noFill/>
                    <a:ln>
                      <a:noFill/>
                    </a:ln>
                  </pic:spPr>
                </pic:pic>
              </a:graphicData>
            </a:graphic>
          </wp:inline>
        </w:drawing>
      </w:r>
    </w:p>
    <w:p w14:paraId="7EB3ADEE" w14:textId="77777777" w:rsidR="001B1059" w:rsidRDefault="001B1059" w:rsidP="001B1059">
      <w:pPr>
        <w:jc w:val="center"/>
      </w:pPr>
    </w:p>
    <w:p w14:paraId="4E24914D" w14:textId="77777777" w:rsidR="001B1059" w:rsidRDefault="001B1059" w:rsidP="001B1059">
      <w:pPr>
        <w:pStyle w:val="Heading12"/>
      </w:pPr>
      <w:r>
        <w:t>Overview</w:t>
      </w:r>
    </w:p>
    <w:p w14:paraId="6BE70AF7" w14:textId="77777777" w:rsidR="001B1059" w:rsidRPr="001B1059" w:rsidRDefault="001B1059" w:rsidP="001B1059">
      <w:pPr>
        <w:pStyle w:val="Normal2"/>
        <w:rPr>
          <w:rFonts w:ascii="Times New Roman" w:hAnsi="Times New Roman" w:cs="Times New Roman"/>
        </w:rPr>
      </w:pPr>
      <w:r w:rsidRPr="001B1059">
        <w:t xml:space="preserve">What can you learn about someone’s personality, interests, culture, and history through the objects they collect? This lesson begins to explore those questions in a simple activity using an Internet archive of one of Warhol’s 610 </w:t>
      </w:r>
      <w:r w:rsidRPr="001B1059">
        <w:rPr>
          <w:i/>
          <w:iCs/>
        </w:rPr>
        <w:t>Time Capsules</w:t>
      </w:r>
      <w:r w:rsidRPr="001B1059">
        <w:t xml:space="preserve">. Students explore the contents of </w:t>
      </w:r>
      <w:r w:rsidRPr="001B1059">
        <w:rPr>
          <w:i/>
          <w:iCs/>
        </w:rPr>
        <w:t>Time Capsules 21</w:t>
      </w:r>
      <w:r w:rsidRPr="001B1059">
        <w:t>, selecting objects to interpret and then write about the artist. This lesson encourages creative writing as well as research and analysis.</w:t>
      </w:r>
    </w:p>
    <w:p w14:paraId="199C9753" w14:textId="77777777" w:rsidR="001B1059" w:rsidRDefault="001B1059" w:rsidP="001B1059">
      <w:pPr>
        <w:pStyle w:val="Normal2"/>
      </w:pPr>
    </w:p>
    <w:p w14:paraId="27660CB7" w14:textId="77777777" w:rsidR="001B1059" w:rsidRDefault="001B1059" w:rsidP="001B1059">
      <w:pPr>
        <w:pStyle w:val="Heading22"/>
      </w:pPr>
      <w:r>
        <w:t>Grade levels</w:t>
      </w:r>
    </w:p>
    <w:p w14:paraId="11029FDA" w14:textId="77777777" w:rsidR="001B1059" w:rsidRDefault="001B1059" w:rsidP="001B1059">
      <w:pPr>
        <w:pStyle w:val="Normal2"/>
        <w:numPr>
          <w:ilvl w:val="0"/>
          <w:numId w:val="1"/>
        </w:numPr>
      </w:pPr>
      <w:r>
        <w:t>Middle school</w:t>
      </w:r>
    </w:p>
    <w:p w14:paraId="2CBB19BB" w14:textId="77777777" w:rsidR="001B1059" w:rsidRDefault="001B1059" w:rsidP="001B1059">
      <w:pPr>
        <w:pStyle w:val="Normal2"/>
        <w:numPr>
          <w:ilvl w:val="0"/>
          <w:numId w:val="1"/>
        </w:numPr>
      </w:pPr>
      <w:r>
        <w:t>High school</w:t>
      </w:r>
    </w:p>
    <w:p w14:paraId="20D6E2DE" w14:textId="77777777" w:rsidR="001B1059" w:rsidRDefault="001B1059" w:rsidP="001B1059">
      <w:pPr>
        <w:pStyle w:val="Normal2"/>
      </w:pPr>
    </w:p>
    <w:p w14:paraId="02320362" w14:textId="77777777" w:rsidR="00FC0EB7" w:rsidRDefault="00FC0EB7">
      <w:pPr>
        <w:rPr>
          <w:rFonts w:ascii="Arial" w:eastAsiaTheme="majorEastAsia" w:hAnsi="Arial"/>
          <w:sz w:val="26"/>
          <w:szCs w:val="26"/>
        </w:rPr>
      </w:pPr>
      <w:r>
        <w:br w:type="page"/>
      </w:r>
    </w:p>
    <w:p w14:paraId="6ECA2082" w14:textId="2097FF83" w:rsidR="001B1059" w:rsidRDefault="001B1059" w:rsidP="001B1059">
      <w:pPr>
        <w:pStyle w:val="Heading22"/>
      </w:pPr>
      <w:r>
        <w:lastRenderedPageBreak/>
        <w:t>Subjects</w:t>
      </w:r>
    </w:p>
    <w:p w14:paraId="5B4E0E77" w14:textId="77777777" w:rsidR="001B1059" w:rsidRDefault="001B1059" w:rsidP="001B1059">
      <w:pPr>
        <w:pStyle w:val="Normal2"/>
        <w:numPr>
          <w:ilvl w:val="0"/>
          <w:numId w:val="1"/>
        </w:numPr>
      </w:pPr>
      <w:r>
        <w:t>Arts</w:t>
      </w:r>
    </w:p>
    <w:p w14:paraId="5C8DD328" w14:textId="77777777" w:rsidR="001B1059" w:rsidRDefault="001B1059" w:rsidP="001B1059">
      <w:pPr>
        <w:pStyle w:val="Normal2"/>
        <w:numPr>
          <w:ilvl w:val="0"/>
          <w:numId w:val="1"/>
        </w:numPr>
      </w:pPr>
      <w:r>
        <w:t>English and language arts</w:t>
      </w:r>
    </w:p>
    <w:p w14:paraId="44DF2F76" w14:textId="01370823" w:rsidR="00FC0EB7" w:rsidRDefault="00FC0EB7" w:rsidP="00FC0EB7">
      <w:pPr>
        <w:pStyle w:val="Normal2"/>
        <w:numPr>
          <w:ilvl w:val="0"/>
          <w:numId w:val="1"/>
        </w:numPr>
      </w:pPr>
      <w:r>
        <w:t>Socia</w:t>
      </w:r>
      <w:r w:rsidR="001B1059">
        <w:t>l studies and history</w:t>
      </w:r>
    </w:p>
    <w:p w14:paraId="412C9962" w14:textId="77777777" w:rsidR="00FC0EB7" w:rsidRDefault="00FC0EB7" w:rsidP="00FC0EB7">
      <w:pPr>
        <w:pStyle w:val="Normal2"/>
      </w:pPr>
    </w:p>
    <w:p w14:paraId="73BA99C3" w14:textId="1EBC9CFC" w:rsidR="001B1059" w:rsidRDefault="001B1059" w:rsidP="00FC0EB7">
      <w:pPr>
        <w:pStyle w:val="Heading22"/>
      </w:pPr>
      <w:r>
        <w:t>Pennsylvania Standards for the Arts and Humanities</w:t>
      </w:r>
    </w:p>
    <w:p w14:paraId="58A9C114" w14:textId="77777777" w:rsidR="001B1059" w:rsidRDefault="001B1059" w:rsidP="001B1059">
      <w:pPr>
        <w:pStyle w:val="Normal2"/>
        <w:numPr>
          <w:ilvl w:val="0"/>
          <w:numId w:val="1"/>
        </w:numPr>
      </w:pPr>
      <w:r>
        <w:t xml:space="preserve">9.2.8.D - </w:t>
      </w:r>
      <w:r w:rsidRPr="001B1059">
        <w:t>Analyze a work of art from its historical and cultural perspective.</w:t>
      </w:r>
    </w:p>
    <w:p w14:paraId="03610432" w14:textId="77777777" w:rsidR="001B1059" w:rsidRDefault="001B1059" w:rsidP="001B1059">
      <w:pPr>
        <w:pStyle w:val="Normal2"/>
        <w:numPr>
          <w:ilvl w:val="0"/>
          <w:numId w:val="1"/>
        </w:numPr>
      </w:pPr>
      <w:r>
        <w:t xml:space="preserve">9.2.12.D - </w:t>
      </w:r>
      <w:r w:rsidRPr="001B1059">
        <w:t>Analyze a work of art from its historical and cultural perspective.</w:t>
      </w:r>
    </w:p>
    <w:p w14:paraId="3BEAA32B" w14:textId="77777777" w:rsidR="001B1059" w:rsidRDefault="001B1059" w:rsidP="001B1059">
      <w:pPr>
        <w:pStyle w:val="Normal2"/>
      </w:pPr>
    </w:p>
    <w:p w14:paraId="33827A85" w14:textId="77777777" w:rsidR="001B1059" w:rsidRDefault="001B1059" w:rsidP="001B1059">
      <w:pPr>
        <w:pStyle w:val="Heading22"/>
      </w:pPr>
      <w:r>
        <w:t>Objectives</w:t>
      </w:r>
    </w:p>
    <w:p w14:paraId="2FA30840" w14:textId="77777777" w:rsidR="001B1059" w:rsidRDefault="001B1059" w:rsidP="001B1059">
      <w:pPr>
        <w:pStyle w:val="Normal2"/>
        <w:numPr>
          <w:ilvl w:val="0"/>
          <w:numId w:val="3"/>
        </w:numPr>
      </w:pPr>
      <w:r>
        <w:t>Students identify objects within a collection.</w:t>
      </w:r>
    </w:p>
    <w:p w14:paraId="1C80411D" w14:textId="77777777" w:rsidR="001B1059" w:rsidRDefault="001B1059" w:rsidP="001B1059">
      <w:pPr>
        <w:pStyle w:val="Normal2"/>
        <w:numPr>
          <w:ilvl w:val="0"/>
          <w:numId w:val="3"/>
        </w:numPr>
      </w:pPr>
      <w:r>
        <w:t>Students compose fictional stories based upon objects.</w:t>
      </w:r>
    </w:p>
    <w:p w14:paraId="7F4EC268" w14:textId="77777777" w:rsidR="001B1059" w:rsidRDefault="001B1059" w:rsidP="001B1059">
      <w:pPr>
        <w:pStyle w:val="Normal2"/>
        <w:numPr>
          <w:ilvl w:val="0"/>
          <w:numId w:val="3"/>
        </w:numPr>
      </w:pPr>
      <w:r>
        <w:t>Students orally present narratives.</w:t>
      </w:r>
    </w:p>
    <w:p w14:paraId="0B851DEC" w14:textId="77777777" w:rsidR="001B1059" w:rsidRDefault="001B1059" w:rsidP="001B1059">
      <w:pPr>
        <w:pStyle w:val="Normal2"/>
        <w:numPr>
          <w:ilvl w:val="0"/>
          <w:numId w:val="3"/>
        </w:numPr>
      </w:pPr>
      <w:r>
        <w:t>Students assess the information revealed by objects in both historical and fictional contexts.</w:t>
      </w:r>
    </w:p>
    <w:p w14:paraId="0CD9B03E" w14:textId="77777777" w:rsidR="001B1059" w:rsidRDefault="001B1059">
      <w:pPr>
        <w:rPr>
          <w:rFonts w:ascii="Arial" w:hAnsi="Arial"/>
        </w:rPr>
      </w:pPr>
      <w:r>
        <w:br w:type="page"/>
      </w:r>
    </w:p>
    <w:p w14:paraId="164AF545" w14:textId="77777777" w:rsidR="001B1059" w:rsidRDefault="001B1059" w:rsidP="001B1059">
      <w:pPr>
        <w:pStyle w:val="Normal2"/>
        <w:jc w:val="center"/>
      </w:pPr>
      <w:r>
        <w:rPr>
          <w:noProof/>
        </w:rPr>
        <w:drawing>
          <wp:inline distT="0" distB="0" distL="0" distR="0" wp14:anchorId="3A3FA841" wp14:editId="3726A29A">
            <wp:extent cx="4681728" cy="2971800"/>
            <wp:effectExtent l="0" t="0" r="0" b="0"/>
            <wp:docPr id="3" name="Picture 3" descr="The contents of one of Warhol’s Time Capsules. There are several books, pieces of artwork by Keith Haring and Jean-Michel Basquiat, a hand painted turtleneck by Kenny Scharf with a large, blue cartoonish face painted on the front, a Mickey Mouse figurine, ties, postcards, and documents, among other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rose/Desktop/Work/Education Lesson Overhaul/Image Resources/TC522_int_01-PowerPoint Ready (1000px longest edge - internal use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728" cy="2971800"/>
                    </a:xfrm>
                    <a:prstGeom prst="rect">
                      <a:avLst/>
                    </a:prstGeom>
                    <a:noFill/>
                    <a:ln>
                      <a:noFill/>
                    </a:ln>
                  </pic:spPr>
                </pic:pic>
              </a:graphicData>
            </a:graphic>
          </wp:inline>
        </w:drawing>
      </w:r>
    </w:p>
    <w:p w14:paraId="54B01B20" w14:textId="77777777" w:rsidR="001B1059" w:rsidRDefault="001B1059" w:rsidP="001B1059">
      <w:pPr>
        <w:pStyle w:val="Normal2"/>
        <w:jc w:val="center"/>
      </w:pPr>
    </w:p>
    <w:p w14:paraId="030D8A46" w14:textId="77777777" w:rsidR="001B1059" w:rsidRPr="001B1059" w:rsidRDefault="001B1059" w:rsidP="001B1059">
      <w:pPr>
        <w:rPr>
          <w:rFonts w:ascii="Times New Roman" w:hAnsi="Times New Roman" w:cs="Times New Roman"/>
          <w:sz w:val="20"/>
          <w:szCs w:val="20"/>
        </w:rPr>
      </w:pPr>
      <w:r w:rsidRPr="001B1059">
        <w:rPr>
          <w:rFonts w:ascii="Arial" w:hAnsi="Arial" w:cs="Arial"/>
          <w:color w:val="000000"/>
          <w:sz w:val="20"/>
          <w:szCs w:val="20"/>
        </w:rPr>
        <w:t>Andy Warhol</w:t>
      </w:r>
      <w:r w:rsidRPr="001B1059">
        <w:rPr>
          <w:rFonts w:ascii="Arial" w:hAnsi="Arial" w:cs="Arial"/>
          <w:i/>
          <w:iCs/>
          <w:color w:val="000000"/>
          <w:sz w:val="20"/>
          <w:szCs w:val="20"/>
        </w:rPr>
        <w:t>, Time Capsule 522</w:t>
      </w:r>
      <w:r w:rsidRPr="001B1059">
        <w:rPr>
          <w:rFonts w:ascii="Arial" w:hAnsi="Arial" w:cs="Arial"/>
          <w:color w:val="000000"/>
          <w:sz w:val="20"/>
          <w:szCs w:val="20"/>
        </w:rPr>
        <w:t>, 1862-1985, undated; Bulk: 1984</w:t>
      </w:r>
    </w:p>
    <w:p w14:paraId="397E4545" w14:textId="77777777" w:rsidR="001B1059" w:rsidRPr="001B1059" w:rsidRDefault="001B1059" w:rsidP="001B1059">
      <w:pPr>
        <w:rPr>
          <w:rFonts w:ascii="Times New Roman" w:hAnsi="Times New Roman" w:cs="Times New Roman"/>
          <w:sz w:val="20"/>
          <w:szCs w:val="20"/>
        </w:rPr>
      </w:pPr>
      <w:r w:rsidRPr="001B1059">
        <w:rPr>
          <w:rFonts w:ascii="Arial" w:hAnsi="Arial" w:cs="Arial"/>
          <w:color w:val="000000"/>
          <w:sz w:val="20"/>
          <w:szCs w:val="20"/>
        </w:rPr>
        <w:t>The Andy Warhol Museum, Pittsburgh; Founding Collection, Contribution The Andy Warhol Foundation for the Visual Arts, Inc.</w:t>
      </w:r>
    </w:p>
    <w:p w14:paraId="3C34377E" w14:textId="77777777" w:rsidR="001B1059" w:rsidRPr="001B1059" w:rsidRDefault="001B1059" w:rsidP="001B1059">
      <w:pPr>
        <w:rPr>
          <w:rFonts w:ascii="Times New Roman" w:hAnsi="Times New Roman" w:cs="Times New Roman"/>
          <w:sz w:val="20"/>
          <w:szCs w:val="20"/>
        </w:rPr>
      </w:pPr>
      <w:r w:rsidRPr="001B1059">
        <w:rPr>
          <w:rFonts w:ascii="Arial" w:hAnsi="Arial" w:cs="Arial"/>
          <w:color w:val="000000"/>
          <w:sz w:val="20"/>
          <w:szCs w:val="20"/>
        </w:rPr>
        <w:t>TC522</w:t>
      </w:r>
    </w:p>
    <w:p w14:paraId="3A41BBEF" w14:textId="77777777" w:rsidR="001B1059" w:rsidRPr="001B1059" w:rsidRDefault="001B1059" w:rsidP="001B1059">
      <w:pPr>
        <w:rPr>
          <w:rFonts w:ascii="Times New Roman" w:eastAsia="Times New Roman" w:hAnsi="Times New Roman" w:cs="Times New Roman"/>
        </w:rPr>
      </w:pPr>
    </w:p>
    <w:p w14:paraId="06D38D87" w14:textId="77777777" w:rsidR="001B1059" w:rsidRDefault="001B1059" w:rsidP="001B1059">
      <w:pPr>
        <w:pStyle w:val="Heading12"/>
      </w:pPr>
      <w:r>
        <w:t>About the Art</w:t>
      </w:r>
    </w:p>
    <w:p w14:paraId="7CE93561" w14:textId="77777777" w:rsidR="001B1059" w:rsidRDefault="001B1059" w:rsidP="001B1059">
      <w:pPr>
        <w:pStyle w:val="Normal2"/>
      </w:pPr>
      <w:r w:rsidRPr="001B1059">
        <w:t>The</w:t>
      </w:r>
      <w:r w:rsidRPr="001B1059">
        <w:rPr>
          <w:i/>
          <w:iCs/>
        </w:rPr>
        <w:t xml:space="preserve"> Time Capsules</w:t>
      </w:r>
      <w:r w:rsidRPr="001B1059">
        <w:t xml:space="preserve"> is Warhol’s largest collecting project. He saved source material for his work and an enormous record of his daily life. Warhol started his </w:t>
      </w:r>
      <w:r w:rsidRPr="001B1059">
        <w:rPr>
          <w:i/>
          <w:iCs/>
        </w:rPr>
        <w:t>Time Capsules</w:t>
      </w:r>
      <w:r w:rsidRPr="001B1059">
        <w:t xml:space="preserve"> in 1974 after relocating his studio. He recognized that cardboard boxes used in the move were an efficient method for dealing with all of his stuff. Warhol selected items from the daily flood of correspondence, magazines, newspapers, gifts, photographs, business records, and material that passed through his hands to put in an open cardboard box by his desk. Once the box was full, he sealed it with tape, marked it with a date and/or title, and put it in his archive. En masse, this material provides a unique view into Warhol’s private world, as well as a broad cultural backdrop illustrating the social and artistic scene during his lifetime. From the early 1970s, until his death in 1987, Warhol created 610 </w:t>
      </w:r>
      <w:r w:rsidRPr="001B1059">
        <w:rPr>
          <w:i/>
          <w:iCs/>
        </w:rPr>
        <w:t>Time Capsules</w:t>
      </w:r>
      <w:r w:rsidRPr="001B1059">
        <w:t xml:space="preserve">. Warhol’s </w:t>
      </w:r>
      <w:r w:rsidRPr="001B1059">
        <w:rPr>
          <w:i/>
          <w:iCs/>
        </w:rPr>
        <w:t>Time Capsule</w:t>
      </w:r>
      <w:r w:rsidRPr="001B1059">
        <w:t xml:space="preserve">s were almost completely unknown until his death. Although various studio assistants frequently handled the boxes over the years, few people recognized the enormous mass of material as anything other than “Andy’s stuff.” When The Andy Warhol Museum opened in 1994, the </w:t>
      </w:r>
      <w:r w:rsidRPr="001B1059">
        <w:rPr>
          <w:i/>
          <w:iCs/>
        </w:rPr>
        <w:t>Time Capsules</w:t>
      </w:r>
      <w:r w:rsidRPr="001B1059">
        <w:t xml:space="preserve"> became accessible to curators, scholars, and the general public, revealing new and important information about Warhol’s life and expanding the public’s understanding of his work and practice.</w:t>
      </w:r>
    </w:p>
    <w:p w14:paraId="19B1B311" w14:textId="77777777" w:rsidR="001B1059" w:rsidRDefault="001B1059">
      <w:pPr>
        <w:rPr>
          <w:rFonts w:ascii="Arial" w:hAnsi="Arial"/>
        </w:rPr>
      </w:pPr>
      <w:r>
        <w:br w:type="page"/>
      </w:r>
    </w:p>
    <w:p w14:paraId="512F4B26" w14:textId="77777777" w:rsidR="001B1059" w:rsidRDefault="001B1059" w:rsidP="001B1059">
      <w:pPr>
        <w:pStyle w:val="Heading12"/>
        <w:rPr>
          <w:rFonts w:eastAsia="Times New Roman"/>
        </w:rPr>
      </w:pPr>
      <w:r>
        <w:rPr>
          <w:rFonts w:eastAsia="Times New Roman"/>
        </w:rPr>
        <w:t>Points of View</w:t>
      </w:r>
    </w:p>
    <w:p w14:paraId="1E62BE95" w14:textId="77777777" w:rsidR="001B1059" w:rsidRPr="001B1059" w:rsidRDefault="001B1059" w:rsidP="001B1059">
      <w:pPr>
        <w:pStyle w:val="Normal2"/>
        <w:rPr>
          <w:rFonts w:ascii="Times New Roman" w:hAnsi="Times New Roman" w:cs="Times New Roman"/>
        </w:rPr>
      </w:pPr>
      <w:r>
        <w:t>“</w:t>
      </w:r>
      <w:r w:rsidRPr="001B1059">
        <w:t>Took a few time capsule boxes to the office. They are fun—when you go through them there’s things you really don’t want to give up. Some day I’ll sell them for $4,000 or $5,000 apiece. I used to think $100, but now I think that’s my new price.</w:t>
      </w:r>
      <w:r>
        <w:t>”</w:t>
      </w:r>
    </w:p>
    <w:p w14:paraId="4D36226F" w14:textId="77777777" w:rsidR="001B1059" w:rsidRPr="001B1059" w:rsidRDefault="001B1059" w:rsidP="001B1059">
      <w:pPr>
        <w:pStyle w:val="Normal2"/>
        <w:rPr>
          <w:rFonts w:ascii="Times New Roman" w:hAnsi="Times New Roman" w:cs="Times New Roman"/>
          <w:b/>
        </w:rPr>
      </w:pPr>
      <w:r w:rsidRPr="001B1059">
        <w:rPr>
          <w:b/>
        </w:rPr>
        <w:t xml:space="preserve">Andy Warhol, </w:t>
      </w:r>
      <w:r w:rsidRPr="001B1059">
        <w:rPr>
          <w:b/>
          <w:i/>
          <w:iCs/>
        </w:rPr>
        <w:t>The Andy Warhol Diaries</w:t>
      </w:r>
      <w:r w:rsidRPr="001B1059">
        <w:rPr>
          <w:b/>
        </w:rPr>
        <w:t>, September 30, 1986</w:t>
      </w:r>
    </w:p>
    <w:p w14:paraId="30D3E107" w14:textId="77777777" w:rsidR="001B1059" w:rsidRDefault="001B1059" w:rsidP="001B1059">
      <w:pPr>
        <w:pStyle w:val="Normal2"/>
      </w:pPr>
    </w:p>
    <w:p w14:paraId="4B6CA82D" w14:textId="77777777" w:rsidR="001B1059" w:rsidRDefault="001B1059" w:rsidP="001B1059">
      <w:pPr>
        <w:pStyle w:val="Normal2"/>
      </w:pPr>
    </w:p>
    <w:p w14:paraId="227CB000" w14:textId="77777777" w:rsidR="001B1059" w:rsidRPr="001B1059" w:rsidRDefault="001B1059" w:rsidP="001B1059">
      <w:pPr>
        <w:pStyle w:val="Normal2"/>
        <w:rPr>
          <w:rFonts w:ascii="Times New Roman" w:hAnsi="Times New Roman" w:cs="Times New Roman"/>
        </w:rPr>
      </w:pPr>
      <w:r>
        <w:t>“</w:t>
      </w:r>
      <w:r w:rsidRPr="001B1059">
        <w:t xml:space="preserve">Andy Warhol possessed both too much and too little. In his capacity to have done those things equally, he vitally characterizes how we engage with the profusion of objects made possible by life in industrial societies. On the one hand, by the time of his premature death, his house had become impassible because of the accumulated bulk of his art, furniture, tchotchkes, and personal effects, and the idea of his having to maintain what he called </w:t>
      </w:r>
      <w:r w:rsidRPr="001B1059">
        <w:rPr>
          <w:i/>
          <w:iCs/>
        </w:rPr>
        <w:t>Time Capsules</w:t>
      </w:r>
      <w:r w:rsidRPr="001B1059">
        <w:t xml:space="preserve"> would be perfectly reasonable to anyone in the possession of that most modern of inventions, the storage unit.... His collections stagger us as we try to make sense of their</w:t>
      </w:r>
      <w:r>
        <w:rPr>
          <w:rFonts w:ascii="Times New Roman" w:hAnsi="Times New Roman" w:cs="Times New Roman"/>
        </w:rPr>
        <w:t xml:space="preserve"> </w:t>
      </w:r>
      <w:r>
        <w:t>meanings. He</w:t>
      </w:r>
      <w:r w:rsidRPr="001B1059">
        <w:t xml:space="preserve"> might begin to think that he was simply a pack rat unable to discard the mundane things he encountered in his daily life: he had too much. Simultaneously, as we begin to sort through the belongings that he gathered around him, we are tempted to wonder what he didn’t hold onto and whether we might discover the lost fragment (such as the precious discarded Rosebud of </w:t>
      </w:r>
      <w:r w:rsidRPr="001B1059">
        <w:rPr>
          <w:i/>
          <w:iCs/>
        </w:rPr>
        <w:t>Citizen Kane</w:t>
      </w:r>
      <w:r w:rsidRPr="001B1059">
        <w:t>) through which one life might be satisfyingly explained. No collection is ever complete and thus begs for those things that it fails to include: the collection always wants more. In short, Warhol’s collections could never be large enough to explain his life and art.</w:t>
      </w:r>
      <w:r>
        <w:t>”</w:t>
      </w:r>
    </w:p>
    <w:p w14:paraId="2478A7D3" w14:textId="77777777" w:rsidR="001B1059" w:rsidRPr="001B1059" w:rsidRDefault="001B1059" w:rsidP="001B1059">
      <w:pPr>
        <w:pStyle w:val="Normal2"/>
        <w:rPr>
          <w:rFonts w:ascii="Times New Roman" w:hAnsi="Times New Roman" w:cs="Times New Roman"/>
          <w:b/>
        </w:rPr>
      </w:pPr>
      <w:r w:rsidRPr="001B1059">
        <w:rPr>
          <w:b/>
        </w:rPr>
        <w:t xml:space="preserve">Matthew Tinkcom, </w:t>
      </w:r>
      <w:r w:rsidRPr="001B1059">
        <w:rPr>
          <w:b/>
          <w:i/>
          <w:iCs/>
        </w:rPr>
        <w:t>Possession Obsession,</w:t>
      </w:r>
      <w:r w:rsidRPr="001B1059">
        <w:rPr>
          <w:b/>
        </w:rPr>
        <w:t xml:space="preserve"> 2002</w:t>
      </w:r>
    </w:p>
    <w:p w14:paraId="43CB097E" w14:textId="77777777" w:rsidR="001B1059" w:rsidRDefault="001B1059" w:rsidP="001B1059">
      <w:pPr>
        <w:pStyle w:val="Normal2"/>
      </w:pPr>
    </w:p>
    <w:p w14:paraId="5F37F752" w14:textId="77777777" w:rsidR="001B1059" w:rsidRPr="001B1059" w:rsidRDefault="001B1059" w:rsidP="001B1059">
      <w:pPr>
        <w:pStyle w:val="Heading12"/>
        <w:rPr>
          <w:rFonts w:eastAsia="Times New Roman"/>
        </w:rPr>
      </w:pPr>
      <w:r>
        <w:rPr>
          <w:rFonts w:eastAsia="Times New Roman"/>
        </w:rPr>
        <w:t>Discussion Questions</w:t>
      </w:r>
    </w:p>
    <w:p w14:paraId="0117E8BF" w14:textId="77777777" w:rsidR="001B1059" w:rsidRPr="001B1059" w:rsidRDefault="001B1059" w:rsidP="001B1059">
      <w:pPr>
        <w:pStyle w:val="Normal2"/>
        <w:numPr>
          <w:ilvl w:val="0"/>
          <w:numId w:val="4"/>
        </w:numPr>
        <w:rPr>
          <w:rFonts w:ascii="Times New Roman" w:hAnsi="Times New Roman" w:cs="Times New Roman"/>
        </w:rPr>
      </w:pPr>
      <w:r w:rsidRPr="001B1059">
        <w:t>Why do people collect and save objects?</w:t>
      </w:r>
    </w:p>
    <w:p w14:paraId="0D48A6B4" w14:textId="77777777" w:rsidR="001B1059" w:rsidRPr="001B1059" w:rsidRDefault="001B1059" w:rsidP="001B1059">
      <w:pPr>
        <w:pStyle w:val="Normal2"/>
        <w:numPr>
          <w:ilvl w:val="0"/>
          <w:numId w:val="4"/>
        </w:numPr>
        <w:rPr>
          <w:rFonts w:ascii="Times New Roman" w:hAnsi="Times New Roman" w:cs="Times New Roman"/>
        </w:rPr>
      </w:pPr>
      <w:r w:rsidRPr="001B1059">
        <w:t>What can you find out about someone through his or her collections? What could someone</w:t>
      </w:r>
    </w:p>
    <w:p w14:paraId="37300D87" w14:textId="77777777" w:rsidR="001B1059" w:rsidRPr="001B1059" w:rsidRDefault="001B1059" w:rsidP="001B1059">
      <w:pPr>
        <w:pStyle w:val="Normal2"/>
        <w:numPr>
          <w:ilvl w:val="0"/>
          <w:numId w:val="4"/>
        </w:numPr>
        <w:rPr>
          <w:rFonts w:ascii="Times New Roman" w:hAnsi="Times New Roman" w:cs="Times New Roman"/>
        </w:rPr>
      </w:pPr>
      <w:r w:rsidRPr="001B1059">
        <w:t>find out about you if they opened your locker at school or your closet at home?</w:t>
      </w:r>
    </w:p>
    <w:p w14:paraId="4983B39F" w14:textId="77777777" w:rsidR="001B1059" w:rsidRPr="001B1059" w:rsidRDefault="001B1059" w:rsidP="001B1059">
      <w:pPr>
        <w:pStyle w:val="Normal2"/>
        <w:numPr>
          <w:ilvl w:val="0"/>
          <w:numId w:val="4"/>
        </w:numPr>
        <w:rPr>
          <w:rFonts w:ascii="Times New Roman" w:hAnsi="Times New Roman" w:cs="Times New Roman"/>
        </w:rPr>
      </w:pPr>
      <w:r w:rsidRPr="001B1059">
        <w:t xml:space="preserve">Warhol created 610 </w:t>
      </w:r>
      <w:r w:rsidRPr="001B1059">
        <w:rPr>
          <w:i/>
          <w:iCs/>
        </w:rPr>
        <w:t>Time Capsules</w:t>
      </w:r>
      <w:r w:rsidRPr="001B1059">
        <w:t xml:space="preserve"> over about twenty years. What do you think researchers are able to learn about Warhol and his life as all of these boxes are catalogued?</w:t>
      </w:r>
    </w:p>
    <w:p w14:paraId="5C8EA623" w14:textId="77777777" w:rsidR="001B1059" w:rsidRPr="001B1059" w:rsidRDefault="001B1059" w:rsidP="001B1059">
      <w:pPr>
        <w:pStyle w:val="Normal2"/>
        <w:numPr>
          <w:ilvl w:val="0"/>
          <w:numId w:val="4"/>
        </w:numPr>
        <w:rPr>
          <w:rFonts w:ascii="Times New Roman" w:hAnsi="Times New Roman" w:cs="Times New Roman"/>
        </w:rPr>
      </w:pPr>
      <w:r w:rsidRPr="001B1059">
        <w:t>What do they discover about American culture?</w:t>
      </w:r>
    </w:p>
    <w:p w14:paraId="67888293" w14:textId="77777777" w:rsidR="001B1059" w:rsidRDefault="001B1059" w:rsidP="001B1059">
      <w:pPr>
        <w:rPr>
          <w:rFonts w:ascii="Times New Roman" w:eastAsia="Times New Roman" w:hAnsi="Times New Roman" w:cs="Times New Roman"/>
        </w:rPr>
      </w:pPr>
    </w:p>
    <w:p w14:paraId="7B0636E3" w14:textId="77777777" w:rsidR="001B1059" w:rsidRDefault="001B1059" w:rsidP="001B1059">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038B161" wp14:editId="79F9C25B">
            <wp:extent cx="3931920" cy="2971800"/>
            <wp:effectExtent l="0" t="0" r="5080" b="0"/>
            <wp:docPr id="4" name="Picture 4" descr="A strip of pale-pink borders the white background of the web page. Tiny icons of brown cardboard boxes are lined up on the screen. A block of text centered on the left edge of the image reads “Time Capsules, The Andy Warhol Museum” and describes the web page as an online exhi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elrose/Downloads/TC 21 screen shot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1920" cy="2971800"/>
                    </a:xfrm>
                    <a:prstGeom prst="rect">
                      <a:avLst/>
                    </a:prstGeom>
                    <a:noFill/>
                    <a:ln>
                      <a:noFill/>
                    </a:ln>
                  </pic:spPr>
                </pic:pic>
              </a:graphicData>
            </a:graphic>
          </wp:inline>
        </w:drawing>
      </w:r>
    </w:p>
    <w:p w14:paraId="38749B7A" w14:textId="77777777" w:rsidR="001B1059" w:rsidRDefault="001B1059" w:rsidP="001B1059">
      <w:pPr>
        <w:jc w:val="center"/>
        <w:rPr>
          <w:rFonts w:ascii="Times New Roman" w:eastAsia="Times New Roman" w:hAnsi="Times New Roman" w:cs="Times New Roman"/>
        </w:rPr>
      </w:pPr>
    </w:p>
    <w:p w14:paraId="2F772DB0" w14:textId="20859816" w:rsidR="00DE463E" w:rsidRPr="00DE463E" w:rsidRDefault="00DE463E" w:rsidP="00DE463E">
      <w:pPr>
        <w:rPr>
          <w:rFonts w:ascii="Times New Roman" w:eastAsia="Times New Roman" w:hAnsi="Times New Roman" w:cs="Times New Roman"/>
          <w:sz w:val="20"/>
          <w:szCs w:val="20"/>
        </w:rPr>
      </w:pPr>
      <w:r w:rsidRPr="00DE463E">
        <w:rPr>
          <w:rFonts w:ascii="Arial" w:eastAsia="Times New Roman" w:hAnsi="Arial" w:cs="Arial"/>
          <w:color w:val="000000"/>
          <w:sz w:val="20"/>
          <w:szCs w:val="20"/>
        </w:rPr>
        <w:t xml:space="preserve">Screenshot of the </w:t>
      </w:r>
      <w:r w:rsidRPr="00DE463E">
        <w:rPr>
          <w:rFonts w:ascii="Arial" w:eastAsia="Times New Roman" w:hAnsi="Arial" w:cs="Arial"/>
          <w:i/>
          <w:iCs/>
          <w:color w:val="000000"/>
          <w:sz w:val="20"/>
          <w:szCs w:val="20"/>
        </w:rPr>
        <w:t>Time Capsule 21</w:t>
      </w:r>
      <w:r w:rsidRPr="00DE463E">
        <w:rPr>
          <w:rFonts w:ascii="Arial" w:eastAsia="Times New Roman" w:hAnsi="Arial" w:cs="Arial"/>
          <w:color w:val="000000"/>
          <w:sz w:val="20"/>
          <w:szCs w:val="20"/>
        </w:rPr>
        <w:t xml:space="preserve"> website.</w:t>
      </w:r>
    </w:p>
    <w:p w14:paraId="6C7D5848" w14:textId="77777777" w:rsidR="001B1059" w:rsidRDefault="001B1059" w:rsidP="001B1059">
      <w:pPr>
        <w:jc w:val="center"/>
        <w:rPr>
          <w:rFonts w:ascii="Times New Roman" w:eastAsia="Times New Roman" w:hAnsi="Times New Roman" w:cs="Times New Roman"/>
        </w:rPr>
      </w:pPr>
    </w:p>
    <w:p w14:paraId="1FB0AE81" w14:textId="77777777" w:rsidR="001B1059" w:rsidRDefault="001B1059" w:rsidP="001B1059">
      <w:pPr>
        <w:pStyle w:val="Heading12"/>
        <w:rPr>
          <w:rFonts w:eastAsia="Times New Roman"/>
        </w:rPr>
      </w:pPr>
      <w:r>
        <w:rPr>
          <w:rFonts w:eastAsia="Times New Roman"/>
        </w:rPr>
        <w:t>Materials</w:t>
      </w:r>
    </w:p>
    <w:p w14:paraId="58235784" w14:textId="77777777" w:rsidR="001B1059" w:rsidRPr="001B1059" w:rsidRDefault="001B1059" w:rsidP="001B1059">
      <w:pPr>
        <w:pStyle w:val="Normal2"/>
        <w:numPr>
          <w:ilvl w:val="0"/>
          <w:numId w:val="6"/>
        </w:numPr>
        <w:rPr>
          <w:i/>
          <w:iCs/>
        </w:rPr>
      </w:pPr>
      <w:r w:rsidRPr="001B1059">
        <w:rPr>
          <w:i/>
          <w:iCs/>
        </w:rPr>
        <w:t>Time Capsule 21</w:t>
      </w:r>
      <w:r w:rsidRPr="001B1059">
        <w:t xml:space="preserve"> Activity handout</w:t>
      </w:r>
    </w:p>
    <w:p w14:paraId="5EE135D2" w14:textId="77777777" w:rsidR="001B1059" w:rsidRPr="001B1059" w:rsidRDefault="001B1059" w:rsidP="001B1059">
      <w:pPr>
        <w:pStyle w:val="Normal2"/>
        <w:numPr>
          <w:ilvl w:val="0"/>
          <w:numId w:val="6"/>
        </w:numPr>
        <w:rPr>
          <w:i/>
          <w:iCs/>
        </w:rPr>
      </w:pPr>
      <w:r w:rsidRPr="001B1059">
        <w:t>Pencils</w:t>
      </w:r>
    </w:p>
    <w:p w14:paraId="00DAB573" w14:textId="77777777" w:rsidR="001B1059" w:rsidRPr="001B1059" w:rsidRDefault="001B1059" w:rsidP="001B1059">
      <w:pPr>
        <w:pStyle w:val="Normal2"/>
        <w:numPr>
          <w:ilvl w:val="0"/>
          <w:numId w:val="6"/>
        </w:numPr>
        <w:rPr>
          <w:i/>
          <w:iCs/>
        </w:rPr>
      </w:pPr>
      <w:r w:rsidRPr="001B1059">
        <w:t>Computer with Internet connection</w:t>
      </w:r>
    </w:p>
    <w:p w14:paraId="616FAF6D" w14:textId="77777777" w:rsidR="001B1059" w:rsidRPr="001B1059" w:rsidRDefault="001B1059" w:rsidP="001B1059">
      <w:pPr>
        <w:pStyle w:val="Normal2"/>
        <w:numPr>
          <w:ilvl w:val="0"/>
          <w:numId w:val="6"/>
        </w:numPr>
        <w:rPr>
          <w:i/>
          <w:iCs/>
        </w:rPr>
      </w:pPr>
      <w:r w:rsidRPr="001B1059">
        <w:t>Flashplayer downloaded for site</w:t>
      </w:r>
    </w:p>
    <w:p w14:paraId="14A9E0B6" w14:textId="77777777" w:rsidR="001B1059" w:rsidRDefault="001B1059" w:rsidP="001B1059">
      <w:pPr>
        <w:pStyle w:val="Normal2"/>
        <w:numPr>
          <w:ilvl w:val="0"/>
          <w:numId w:val="6"/>
        </w:numPr>
        <w:rPr>
          <w:rFonts w:ascii="Times New Roman" w:eastAsia="Times New Roman" w:hAnsi="Times New Roman" w:cs="Times New Roman"/>
        </w:rPr>
      </w:pPr>
      <w:r w:rsidRPr="001B1059">
        <w:rPr>
          <w:rFonts w:eastAsia="Times New Roman"/>
          <w:i/>
          <w:iCs/>
        </w:rPr>
        <w:t>Time Capsule 21</w:t>
      </w:r>
      <w:r w:rsidRPr="001B1059">
        <w:rPr>
          <w:rFonts w:eastAsia="Times New Roman"/>
        </w:rPr>
        <w:t xml:space="preserve"> website: </w:t>
      </w:r>
      <w:hyperlink r:id="rId10" w:history="1">
        <w:r w:rsidRPr="001B1059">
          <w:rPr>
            <w:rFonts w:eastAsia="Times New Roman"/>
            <w:color w:val="1155CC"/>
            <w:u w:val="single"/>
          </w:rPr>
          <w:t>http://exhibitions.warhol.org/tc21/</w:t>
        </w:r>
      </w:hyperlink>
    </w:p>
    <w:p w14:paraId="541E6B93" w14:textId="77777777" w:rsidR="001B1059" w:rsidRDefault="001B1059" w:rsidP="001B1059">
      <w:pPr>
        <w:pStyle w:val="Normal2"/>
        <w:rPr>
          <w:rFonts w:ascii="Times New Roman" w:eastAsia="Times New Roman" w:hAnsi="Times New Roman" w:cs="Times New Roman"/>
        </w:rPr>
      </w:pPr>
    </w:p>
    <w:p w14:paraId="2E11CEDB" w14:textId="77777777" w:rsidR="001B1059" w:rsidRDefault="001B1059" w:rsidP="001B1059">
      <w:pPr>
        <w:pStyle w:val="Heading12"/>
        <w:rPr>
          <w:rFonts w:eastAsia="Times New Roman"/>
        </w:rPr>
      </w:pPr>
      <w:r>
        <w:rPr>
          <w:rFonts w:eastAsia="Times New Roman"/>
        </w:rPr>
        <w:t>Procedure</w:t>
      </w:r>
    </w:p>
    <w:p w14:paraId="7C3962F9" w14:textId="77777777" w:rsidR="001B1059" w:rsidRPr="001B1059" w:rsidRDefault="001B1059" w:rsidP="001B1059">
      <w:pPr>
        <w:pStyle w:val="Normal2"/>
        <w:numPr>
          <w:ilvl w:val="0"/>
          <w:numId w:val="7"/>
        </w:numPr>
      </w:pPr>
      <w:r w:rsidRPr="001B1059">
        <w:rPr>
          <w:rFonts w:cs="Arial"/>
          <w:color w:val="000000"/>
        </w:rPr>
        <w:t xml:space="preserve">Explore the website </w:t>
      </w:r>
      <w:hyperlink r:id="rId11" w:history="1">
        <w:r w:rsidRPr="001B1059">
          <w:rPr>
            <w:rFonts w:cs="Arial"/>
            <w:color w:val="1155CC"/>
            <w:u w:val="single"/>
          </w:rPr>
          <w:t>Time Capsule 21</w:t>
        </w:r>
      </w:hyperlink>
      <w:r w:rsidRPr="001B1059">
        <w:rPr>
          <w:rFonts w:cs="Arial"/>
          <w:color w:val="000000"/>
        </w:rPr>
        <w:t>.</w:t>
      </w:r>
    </w:p>
    <w:p w14:paraId="4096EC3C" w14:textId="77777777" w:rsidR="001B1059" w:rsidRPr="001B1059" w:rsidRDefault="001B1059" w:rsidP="001B1059">
      <w:pPr>
        <w:pStyle w:val="Normal2"/>
        <w:numPr>
          <w:ilvl w:val="0"/>
          <w:numId w:val="7"/>
        </w:numPr>
      </w:pPr>
      <w:r w:rsidRPr="001B1059">
        <w:rPr>
          <w:rFonts w:cs="Arial"/>
          <w:color w:val="000000"/>
        </w:rPr>
        <w:t xml:space="preserve">Choose three to five items from </w:t>
      </w:r>
      <w:r w:rsidRPr="001B1059">
        <w:rPr>
          <w:rFonts w:cs="Arial"/>
          <w:i/>
          <w:iCs/>
          <w:color w:val="000000"/>
        </w:rPr>
        <w:t>Time Capsule 21</w:t>
      </w:r>
      <w:r w:rsidRPr="001B1059">
        <w:rPr>
          <w:rFonts w:cs="Arial"/>
          <w:color w:val="000000"/>
        </w:rPr>
        <w:t>.</w:t>
      </w:r>
    </w:p>
    <w:p w14:paraId="78F18459" w14:textId="77777777" w:rsidR="001B1059" w:rsidRPr="001B1059" w:rsidRDefault="001B1059" w:rsidP="001B1059">
      <w:pPr>
        <w:pStyle w:val="Normal2"/>
        <w:numPr>
          <w:ilvl w:val="0"/>
          <w:numId w:val="7"/>
        </w:numPr>
      </w:pPr>
      <w:r w:rsidRPr="001B1059">
        <w:rPr>
          <w:rFonts w:cs="Arial"/>
          <w:color w:val="000000"/>
        </w:rPr>
        <w:t>Use the handout to identify your objects.</w:t>
      </w:r>
    </w:p>
    <w:p w14:paraId="646F4044" w14:textId="77777777" w:rsidR="001B1059" w:rsidRPr="001B1059" w:rsidRDefault="001B1059" w:rsidP="001B1059">
      <w:pPr>
        <w:pStyle w:val="Normal2"/>
        <w:numPr>
          <w:ilvl w:val="0"/>
          <w:numId w:val="7"/>
        </w:numPr>
      </w:pPr>
      <w:r w:rsidRPr="001B1059">
        <w:rPr>
          <w:rFonts w:cs="Arial"/>
          <w:color w:val="000000"/>
        </w:rPr>
        <w:t>Write a brief description of each item and what it reveals about Warhol.</w:t>
      </w:r>
    </w:p>
    <w:p w14:paraId="1B016D50" w14:textId="77777777" w:rsidR="001B1059" w:rsidRPr="001B1059" w:rsidRDefault="001B1059" w:rsidP="001B1059">
      <w:pPr>
        <w:pStyle w:val="Normal2"/>
        <w:numPr>
          <w:ilvl w:val="0"/>
          <w:numId w:val="7"/>
        </w:numPr>
      </w:pPr>
      <w:r w:rsidRPr="001B1059">
        <w:rPr>
          <w:rFonts w:cs="Arial"/>
          <w:color w:val="000000"/>
        </w:rPr>
        <w:t>Create a fictional story about one day in Warhol’s life incorporating your chosen objects as important elements within the narrative. Use your imagination and be creative.</w:t>
      </w:r>
    </w:p>
    <w:p w14:paraId="20CB4C2A" w14:textId="77777777" w:rsidR="001B1059" w:rsidRPr="001B1059" w:rsidRDefault="001B1059" w:rsidP="001B1059">
      <w:pPr>
        <w:pStyle w:val="Normal2"/>
        <w:numPr>
          <w:ilvl w:val="0"/>
          <w:numId w:val="7"/>
        </w:numPr>
      </w:pPr>
      <w:r w:rsidRPr="001B1059">
        <w:rPr>
          <w:rFonts w:cs="Arial"/>
          <w:color w:val="000000"/>
        </w:rPr>
        <w:t>Present your narrative to the class.</w:t>
      </w:r>
    </w:p>
    <w:p w14:paraId="3235A048" w14:textId="77777777" w:rsidR="001B1059" w:rsidRPr="001B1059" w:rsidRDefault="001B1059" w:rsidP="001B1059">
      <w:pPr>
        <w:pStyle w:val="Normal2"/>
        <w:numPr>
          <w:ilvl w:val="0"/>
          <w:numId w:val="7"/>
        </w:numPr>
      </w:pPr>
      <w:r w:rsidRPr="001B1059">
        <w:rPr>
          <w:rFonts w:cs="Arial"/>
          <w:color w:val="000000"/>
        </w:rPr>
        <w:t>Discuss how objects reveal information about people, place, and cultures.</w:t>
      </w:r>
    </w:p>
    <w:p w14:paraId="4E52A666" w14:textId="77777777" w:rsidR="001B1059" w:rsidRDefault="001B1059" w:rsidP="001B1059">
      <w:pPr>
        <w:pStyle w:val="Normal2"/>
        <w:rPr>
          <w:rFonts w:cs="Arial"/>
          <w:color w:val="000000"/>
        </w:rPr>
      </w:pPr>
    </w:p>
    <w:p w14:paraId="53C67264" w14:textId="77777777" w:rsidR="00991EDD" w:rsidRDefault="00991EDD">
      <w:pPr>
        <w:rPr>
          <w:rFonts w:ascii="Arial" w:eastAsiaTheme="majorEastAsia" w:hAnsi="Arial"/>
          <w:sz w:val="26"/>
          <w:szCs w:val="26"/>
        </w:rPr>
      </w:pPr>
      <w:r>
        <w:br w:type="page"/>
      </w:r>
    </w:p>
    <w:p w14:paraId="73762A41" w14:textId="77777777" w:rsidR="00480F9E" w:rsidRDefault="00480F9E" w:rsidP="00480F9E">
      <w:pPr>
        <w:pStyle w:val="Heading12"/>
      </w:pPr>
      <w:r>
        <w:t>Assessment</w:t>
      </w:r>
    </w:p>
    <w:p w14:paraId="7F1F5046" w14:textId="0B267F32" w:rsidR="001B1059" w:rsidRPr="00480F9E" w:rsidRDefault="00480F9E" w:rsidP="00480F9E">
      <w:pPr>
        <w:rPr>
          <w:rFonts w:ascii="Arial" w:hAnsi="Arial" w:cs="Arial"/>
        </w:rPr>
      </w:pPr>
      <w:r w:rsidRPr="005747AF">
        <w:rPr>
          <w:rFonts w:ascii="Arial" w:hAnsi="Arial" w:cs="Arial"/>
          <w:bCs/>
        </w:rPr>
        <w:t xml:space="preserve">The following assessments can be used for this lesson using the </w:t>
      </w:r>
      <w:hyperlink r:id="rId12" w:history="1">
        <w:r w:rsidRPr="005747AF">
          <w:rPr>
            <w:rStyle w:val="Hyperlink"/>
            <w:rFonts w:ascii="Arial" w:hAnsi="Arial" w:cs="Arial"/>
            <w:bCs/>
          </w:rPr>
          <w:t>downloadable assessment rubric</w:t>
        </w:r>
      </w:hyperlink>
      <w:r w:rsidRPr="005747AF">
        <w:rPr>
          <w:rFonts w:ascii="Arial" w:hAnsi="Arial" w:cs="Arial"/>
          <w:bCs/>
        </w:rPr>
        <w:t>.</w:t>
      </w:r>
      <w:bookmarkStart w:id="0" w:name="_GoBack"/>
      <w:bookmarkEnd w:id="0"/>
    </w:p>
    <w:p w14:paraId="6F57877C" w14:textId="77777777" w:rsidR="001B1059" w:rsidRDefault="00991EDD" w:rsidP="00991EDD">
      <w:pPr>
        <w:pStyle w:val="Normal2"/>
        <w:numPr>
          <w:ilvl w:val="0"/>
          <w:numId w:val="6"/>
        </w:numPr>
      </w:pPr>
      <w:r>
        <w:t>Aesthetics 3</w:t>
      </w:r>
    </w:p>
    <w:p w14:paraId="0BF59C35" w14:textId="77777777" w:rsidR="00991EDD" w:rsidRDefault="00991EDD" w:rsidP="00991EDD">
      <w:pPr>
        <w:pStyle w:val="Normal2"/>
        <w:numPr>
          <w:ilvl w:val="0"/>
          <w:numId w:val="6"/>
        </w:numPr>
      </w:pPr>
      <w:r>
        <w:t>Communication 2</w:t>
      </w:r>
    </w:p>
    <w:p w14:paraId="68764FFA" w14:textId="77777777" w:rsidR="00991EDD" w:rsidRDefault="00991EDD" w:rsidP="00991EDD">
      <w:pPr>
        <w:pStyle w:val="Normal2"/>
        <w:numPr>
          <w:ilvl w:val="0"/>
          <w:numId w:val="6"/>
        </w:numPr>
      </w:pPr>
      <w:r>
        <w:t>Communication 3</w:t>
      </w:r>
    </w:p>
    <w:p w14:paraId="1DE728E7" w14:textId="77777777" w:rsidR="00991EDD" w:rsidRDefault="00991EDD" w:rsidP="00991EDD">
      <w:pPr>
        <w:pStyle w:val="Normal2"/>
        <w:numPr>
          <w:ilvl w:val="0"/>
          <w:numId w:val="6"/>
        </w:numPr>
      </w:pPr>
      <w:r>
        <w:t>Creative process 2</w:t>
      </w:r>
    </w:p>
    <w:p w14:paraId="4818DBCB" w14:textId="77777777" w:rsidR="00991EDD" w:rsidRDefault="00991EDD" w:rsidP="00991EDD">
      <w:pPr>
        <w:pStyle w:val="Normal2"/>
        <w:numPr>
          <w:ilvl w:val="0"/>
          <w:numId w:val="6"/>
        </w:numPr>
      </w:pPr>
      <w:r>
        <w:t>Critical thinking 4</w:t>
      </w:r>
    </w:p>
    <w:p w14:paraId="7CB4C539" w14:textId="77777777" w:rsidR="001B1059" w:rsidRPr="00991EDD" w:rsidRDefault="00991EDD" w:rsidP="001B1059">
      <w:pPr>
        <w:pStyle w:val="Normal2"/>
        <w:numPr>
          <w:ilvl w:val="0"/>
          <w:numId w:val="6"/>
        </w:numPr>
      </w:pPr>
      <w:r>
        <w:t>Historical context 4</w:t>
      </w:r>
    </w:p>
    <w:p w14:paraId="3DFF0AAD" w14:textId="1A52B753" w:rsidR="00C113D7" w:rsidRDefault="00C113D7">
      <w:pPr>
        <w:rPr>
          <w:rFonts w:ascii="Arial" w:eastAsia="Times New Roman" w:hAnsi="Arial"/>
          <w:sz w:val="48"/>
          <w:szCs w:val="48"/>
        </w:rPr>
      </w:pPr>
      <w:r>
        <w:rPr>
          <w:rFonts w:eastAsia="Times New Roman"/>
        </w:rPr>
        <w:br w:type="page"/>
      </w:r>
    </w:p>
    <w:p w14:paraId="75AA5F75" w14:textId="77777777" w:rsidR="00C113D7" w:rsidRDefault="00C113D7" w:rsidP="00C113D7">
      <w:pPr>
        <w:pStyle w:val="Heading12"/>
      </w:pPr>
      <w:r>
        <w:t>Time Capsule Handout</w:t>
      </w:r>
    </w:p>
    <w:p w14:paraId="241CF77A" w14:textId="77777777" w:rsidR="00C113D7" w:rsidRPr="003C2E52" w:rsidRDefault="00C113D7" w:rsidP="00C113D7">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064ED36C" w14:textId="77777777" w:rsidR="00C113D7" w:rsidRDefault="00C113D7" w:rsidP="00C113D7">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19119062" w14:textId="77777777" w:rsidR="00C113D7" w:rsidRDefault="00C113D7" w:rsidP="00C113D7"/>
    <w:tbl>
      <w:tblPr>
        <w:tblStyle w:val="TableGrid"/>
        <w:tblW w:w="9258" w:type="dxa"/>
        <w:tblLook w:val="04A0" w:firstRow="1" w:lastRow="0" w:firstColumn="1" w:lastColumn="0" w:noHBand="0" w:noVBand="1"/>
      </w:tblPr>
      <w:tblGrid>
        <w:gridCol w:w="2314"/>
        <w:gridCol w:w="2314"/>
        <w:gridCol w:w="2315"/>
        <w:gridCol w:w="2315"/>
      </w:tblGrid>
      <w:tr w:rsidR="00C113D7" w14:paraId="35A4FE34" w14:textId="77777777" w:rsidTr="006C4922">
        <w:trPr>
          <w:trHeight w:val="330"/>
        </w:trPr>
        <w:tc>
          <w:tcPr>
            <w:tcW w:w="4628" w:type="dxa"/>
            <w:gridSpan w:val="2"/>
            <w:vAlign w:val="center"/>
          </w:tcPr>
          <w:p w14:paraId="51DCB147" w14:textId="77777777" w:rsidR="00C113D7" w:rsidRPr="00E06E92" w:rsidRDefault="00C113D7" w:rsidP="006C4922">
            <w:pPr>
              <w:pStyle w:val="Heading22"/>
              <w:jc w:val="center"/>
              <w:rPr>
                <w:b/>
              </w:rPr>
            </w:pPr>
            <w:r>
              <w:rPr>
                <w:b/>
              </w:rPr>
              <w:t>Andy Warhol</w:t>
            </w:r>
          </w:p>
        </w:tc>
        <w:tc>
          <w:tcPr>
            <w:tcW w:w="4630" w:type="dxa"/>
            <w:gridSpan w:val="2"/>
            <w:vAlign w:val="center"/>
          </w:tcPr>
          <w:p w14:paraId="1A89DB0B" w14:textId="77777777" w:rsidR="00C113D7" w:rsidRPr="00E06E92" w:rsidRDefault="00C113D7" w:rsidP="006C4922">
            <w:pPr>
              <w:pStyle w:val="Heading22"/>
              <w:jc w:val="center"/>
              <w:rPr>
                <w:b/>
              </w:rPr>
            </w:pPr>
            <w:r>
              <w:rPr>
                <w:b/>
              </w:rPr>
              <w:t>Yourself</w:t>
            </w:r>
          </w:p>
        </w:tc>
      </w:tr>
      <w:tr w:rsidR="00C113D7" w14:paraId="60DB93A2" w14:textId="77777777" w:rsidTr="006C4922">
        <w:trPr>
          <w:trHeight w:val="1060"/>
        </w:trPr>
        <w:tc>
          <w:tcPr>
            <w:tcW w:w="2314" w:type="dxa"/>
            <w:vAlign w:val="center"/>
          </w:tcPr>
          <w:p w14:paraId="15B8D621" w14:textId="77777777" w:rsidR="00C113D7" w:rsidRDefault="00C113D7" w:rsidP="006C4922">
            <w:pPr>
              <w:pStyle w:val="Normal2"/>
              <w:jc w:val="center"/>
            </w:pPr>
            <w:r>
              <w:t>Identify (draw or describe) three items from TC21</w:t>
            </w:r>
          </w:p>
        </w:tc>
        <w:tc>
          <w:tcPr>
            <w:tcW w:w="2314" w:type="dxa"/>
            <w:vAlign w:val="center"/>
          </w:tcPr>
          <w:p w14:paraId="6EFB5D2B" w14:textId="77777777" w:rsidR="00C113D7" w:rsidRDefault="00C113D7" w:rsidP="006C4922">
            <w:pPr>
              <w:pStyle w:val="Normal2"/>
              <w:jc w:val="center"/>
            </w:pPr>
            <w:r>
              <w:t>Explain what these three items reveal about Andy Warhol</w:t>
            </w:r>
          </w:p>
        </w:tc>
        <w:tc>
          <w:tcPr>
            <w:tcW w:w="2315" w:type="dxa"/>
            <w:vAlign w:val="center"/>
          </w:tcPr>
          <w:p w14:paraId="3C3228C4" w14:textId="77777777" w:rsidR="00C113D7" w:rsidRDefault="00C113D7" w:rsidP="006C4922">
            <w:pPr>
              <w:pStyle w:val="Normal2"/>
              <w:jc w:val="center"/>
            </w:pPr>
            <w:r>
              <w:t>Identify (draw or describe) three items from your own life</w:t>
            </w:r>
          </w:p>
        </w:tc>
        <w:tc>
          <w:tcPr>
            <w:tcW w:w="2315" w:type="dxa"/>
            <w:vAlign w:val="center"/>
          </w:tcPr>
          <w:p w14:paraId="6B52C1A4" w14:textId="77777777" w:rsidR="00C113D7" w:rsidRDefault="00C113D7" w:rsidP="006C4922">
            <w:pPr>
              <w:pStyle w:val="Normal2"/>
              <w:jc w:val="center"/>
            </w:pPr>
            <w:r>
              <w:t>Explain what these three items reveal about you</w:t>
            </w:r>
          </w:p>
        </w:tc>
      </w:tr>
      <w:tr w:rsidR="00C113D7" w14:paraId="585F824B" w14:textId="77777777" w:rsidTr="006C4922">
        <w:trPr>
          <w:trHeight w:val="3071"/>
        </w:trPr>
        <w:tc>
          <w:tcPr>
            <w:tcW w:w="2314" w:type="dxa"/>
          </w:tcPr>
          <w:p w14:paraId="62BB8CC9" w14:textId="77777777" w:rsidR="00C113D7" w:rsidRDefault="00C113D7" w:rsidP="006C4922"/>
        </w:tc>
        <w:tc>
          <w:tcPr>
            <w:tcW w:w="2314" w:type="dxa"/>
          </w:tcPr>
          <w:p w14:paraId="5014DA2E" w14:textId="77777777" w:rsidR="00C113D7" w:rsidRDefault="00C113D7" w:rsidP="006C4922"/>
        </w:tc>
        <w:tc>
          <w:tcPr>
            <w:tcW w:w="2315" w:type="dxa"/>
          </w:tcPr>
          <w:p w14:paraId="4B02E469" w14:textId="77777777" w:rsidR="00C113D7" w:rsidRDefault="00C113D7" w:rsidP="006C4922"/>
        </w:tc>
        <w:tc>
          <w:tcPr>
            <w:tcW w:w="2315" w:type="dxa"/>
          </w:tcPr>
          <w:p w14:paraId="490177D8" w14:textId="77777777" w:rsidR="00C113D7" w:rsidRDefault="00C113D7" w:rsidP="006C4922"/>
        </w:tc>
      </w:tr>
      <w:tr w:rsidR="00C113D7" w14:paraId="44FDFE81" w14:textId="77777777" w:rsidTr="006C4922">
        <w:trPr>
          <w:trHeight w:val="3071"/>
        </w:trPr>
        <w:tc>
          <w:tcPr>
            <w:tcW w:w="2314" w:type="dxa"/>
          </w:tcPr>
          <w:p w14:paraId="63165581" w14:textId="77777777" w:rsidR="00C113D7" w:rsidRDefault="00C113D7" w:rsidP="006C4922"/>
        </w:tc>
        <w:tc>
          <w:tcPr>
            <w:tcW w:w="2314" w:type="dxa"/>
          </w:tcPr>
          <w:p w14:paraId="6ADB2308" w14:textId="77777777" w:rsidR="00C113D7" w:rsidRDefault="00C113D7" w:rsidP="006C4922"/>
        </w:tc>
        <w:tc>
          <w:tcPr>
            <w:tcW w:w="2315" w:type="dxa"/>
          </w:tcPr>
          <w:p w14:paraId="73DBDCB2" w14:textId="77777777" w:rsidR="00C113D7" w:rsidRDefault="00C113D7" w:rsidP="006C4922"/>
        </w:tc>
        <w:tc>
          <w:tcPr>
            <w:tcW w:w="2315" w:type="dxa"/>
          </w:tcPr>
          <w:p w14:paraId="54AE7CFE" w14:textId="77777777" w:rsidR="00C113D7" w:rsidRDefault="00C113D7" w:rsidP="006C4922"/>
        </w:tc>
      </w:tr>
      <w:tr w:rsidR="00C113D7" w14:paraId="0EA95F61" w14:textId="77777777" w:rsidTr="00C113D7">
        <w:trPr>
          <w:trHeight w:val="3302"/>
        </w:trPr>
        <w:tc>
          <w:tcPr>
            <w:tcW w:w="2314" w:type="dxa"/>
          </w:tcPr>
          <w:p w14:paraId="5F1979B9" w14:textId="77777777" w:rsidR="00C113D7" w:rsidRDefault="00C113D7" w:rsidP="006C4922"/>
        </w:tc>
        <w:tc>
          <w:tcPr>
            <w:tcW w:w="2314" w:type="dxa"/>
          </w:tcPr>
          <w:p w14:paraId="6F5F8665" w14:textId="77777777" w:rsidR="00C113D7" w:rsidRDefault="00C113D7" w:rsidP="006C4922"/>
        </w:tc>
        <w:tc>
          <w:tcPr>
            <w:tcW w:w="2315" w:type="dxa"/>
          </w:tcPr>
          <w:p w14:paraId="3EB3C8E0" w14:textId="77777777" w:rsidR="00C113D7" w:rsidRDefault="00C113D7" w:rsidP="006C4922"/>
        </w:tc>
        <w:tc>
          <w:tcPr>
            <w:tcW w:w="2315" w:type="dxa"/>
          </w:tcPr>
          <w:p w14:paraId="122E20B4" w14:textId="77777777" w:rsidR="00C113D7" w:rsidRDefault="00C113D7" w:rsidP="006C4922"/>
        </w:tc>
      </w:tr>
    </w:tbl>
    <w:p w14:paraId="7C496922" w14:textId="77777777" w:rsidR="001B1059" w:rsidRDefault="001B1059" w:rsidP="00C113D7">
      <w:pPr>
        <w:pStyle w:val="Normal2"/>
      </w:pPr>
    </w:p>
    <w:sectPr w:rsidR="001B1059" w:rsidSect="001B1059">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AC77B" w14:textId="77777777" w:rsidR="00FC6F3A" w:rsidRDefault="00FC6F3A" w:rsidP="001B1059">
      <w:r>
        <w:separator/>
      </w:r>
    </w:p>
  </w:endnote>
  <w:endnote w:type="continuationSeparator" w:id="0">
    <w:p w14:paraId="28163BC4" w14:textId="77777777" w:rsidR="00FC6F3A" w:rsidRDefault="00FC6F3A" w:rsidP="001B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722E" w14:textId="6486AB1A" w:rsidR="00243EAE" w:rsidRPr="00243EAE" w:rsidRDefault="00243EAE" w:rsidP="00243EAE">
    <w:pPr>
      <w:rPr>
        <w:rFonts w:ascii="Times New Roman" w:eastAsia="Times New Roman" w:hAnsi="Times New Roman" w:cs="Times New Roman"/>
      </w:rPr>
    </w:pPr>
    <w:r w:rsidRPr="00243EAE">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937D" w14:textId="6992E81A" w:rsidR="00243EAE" w:rsidRPr="00243EAE" w:rsidRDefault="00243EAE" w:rsidP="00243EAE">
    <w:pPr>
      <w:rPr>
        <w:rFonts w:ascii="Times New Roman" w:eastAsia="Times New Roman" w:hAnsi="Times New Roman" w:cs="Times New Roman"/>
      </w:rPr>
    </w:pPr>
    <w:r w:rsidRPr="00243EAE">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EFAAF" w14:textId="77777777" w:rsidR="00FC6F3A" w:rsidRDefault="00FC6F3A" w:rsidP="001B1059">
      <w:r>
        <w:separator/>
      </w:r>
    </w:p>
  </w:footnote>
  <w:footnote w:type="continuationSeparator" w:id="0">
    <w:p w14:paraId="519064A9" w14:textId="77777777" w:rsidR="00FC6F3A" w:rsidRDefault="00FC6F3A" w:rsidP="001B10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E389" w14:textId="77777777" w:rsidR="001B1059" w:rsidRPr="001B1059" w:rsidRDefault="001B1059" w:rsidP="001B1059">
    <w:pPr>
      <w:pStyle w:val="Normal2"/>
      <w:jc w:val="right"/>
      <w:rPr>
        <w:rFonts w:ascii="Times New Roman" w:hAnsi="Times New Roman" w:cs="Times New Roman"/>
        <w:b/>
      </w:rPr>
    </w:pPr>
    <w:r w:rsidRPr="001B1059">
      <w:rPr>
        <w:b/>
      </w:rPr>
      <w:t>Time Capsule 21 Activity: A Day in the Life of Warhol</w:t>
    </w:r>
  </w:p>
  <w:p w14:paraId="5B18EBCA" w14:textId="77777777" w:rsidR="001B1059" w:rsidRDefault="001B10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24293"/>
    <w:multiLevelType w:val="hybridMultilevel"/>
    <w:tmpl w:val="683C2256"/>
    <w:lvl w:ilvl="0" w:tplc="B0FAD9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75A91"/>
    <w:multiLevelType w:val="hybridMultilevel"/>
    <w:tmpl w:val="F470378E"/>
    <w:lvl w:ilvl="0" w:tplc="AEDEE9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91B3E"/>
    <w:multiLevelType w:val="hybridMultilevel"/>
    <w:tmpl w:val="7F4AE1AE"/>
    <w:lvl w:ilvl="0" w:tplc="AEDEE9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3C6F9F"/>
    <w:multiLevelType w:val="hybridMultilevel"/>
    <w:tmpl w:val="B0842E14"/>
    <w:lvl w:ilvl="0" w:tplc="B0FAD968">
      <w:start w:val="19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2C720D"/>
    <w:multiLevelType w:val="hybridMultilevel"/>
    <w:tmpl w:val="340ABB2C"/>
    <w:lvl w:ilvl="0" w:tplc="B0FAD9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103BF9"/>
    <w:multiLevelType w:val="multilevel"/>
    <w:tmpl w:val="087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E745A"/>
    <w:multiLevelType w:val="multilevel"/>
    <w:tmpl w:val="CB40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59"/>
    <w:rsid w:val="001B1059"/>
    <w:rsid w:val="001C31CB"/>
    <w:rsid w:val="00243EAE"/>
    <w:rsid w:val="00480F9E"/>
    <w:rsid w:val="0049061F"/>
    <w:rsid w:val="004C7687"/>
    <w:rsid w:val="0081199E"/>
    <w:rsid w:val="008A544E"/>
    <w:rsid w:val="00991EDD"/>
    <w:rsid w:val="00BB75D8"/>
    <w:rsid w:val="00C113D7"/>
    <w:rsid w:val="00DE463E"/>
    <w:rsid w:val="00E04928"/>
    <w:rsid w:val="00E113A9"/>
    <w:rsid w:val="00F12140"/>
    <w:rsid w:val="00FC0EB7"/>
    <w:rsid w:val="00FC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0D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B1059"/>
    <w:pPr>
      <w:tabs>
        <w:tab w:val="center" w:pos="4680"/>
        <w:tab w:val="right" w:pos="9360"/>
      </w:tabs>
    </w:pPr>
  </w:style>
  <w:style w:type="character" w:customStyle="1" w:styleId="HeaderChar">
    <w:name w:val="Header Char"/>
    <w:basedOn w:val="DefaultParagraphFont"/>
    <w:link w:val="Header"/>
    <w:uiPriority w:val="99"/>
    <w:rsid w:val="001B1059"/>
  </w:style>
  <w:style w:type="paragraph" w:styleId="Footer">
    <w:name w:val="footer"/>
    <w:basedOn w:val="Normal"/>
    <w:link w:val="FooterChar"/>
    <w:uiPriority w:val="99"/>
    <w:unhideWhenUsed/>
    <w:rsid w:val="001B1059"/>
    <w:pPr>
      <w:tabs>
        <w:tab w:val="center" w:pos="4680"/>
        <w:tab w:val="right" w:pos="9360"/>
      </w:tabs>
    </w:pPr>
  </w:style>
  <w:style w:type="character" w:customStyle="1" w:styleId="FooterChar">
    <w:name w:val="Footer Char"/>
    <w:basedOn w:val="DefaultParagraphFont"/>
    <w:link w:val="Footer"/>
    <w:uiPriority w:val="99"/>
    <w:rsid w:val="001B1059"/>
  </w:style>
  <w:style w:type="paragraph" w:styleId="NormalWeb">
    <w:name w:val="Normal (Web)"/>
    <w:basedOn w:val="Normal"/>
    <w:uiPriority w:val="99"/>
    <w:semiHidden/>
    <w:unhideWhenUsed/>
    <w:rsid w:val="001B105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B1059"/>
    <w:rPr>
      <w:color w:val="0000FF"/>
      <w:u w:val="single"/>
    </w:rPr>
  </w:style>
  <w:style w:type="table" w:styleId="TableGrid">
    <w:name w:val="Table Grid"/>
    <w:basedOn w:val="TableNormal"/>
    <w:uiPriority w:val="39"/>
    <w:rsid w:val="00C11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365">
      <w:bodyDiv w:val="1"/>
      <w:marLeft w:val="0"/>
      <w:marRight w:val="0"/>
      <w:marTop w:val="0"/>
      <w:marBottom w:val="0"/>
      <w:divBdr>
        <w:top w:val="none" w:sz="0" w:space="0" w:color="auto"/>
        <w:left w:val="none" w:sz="0" w:space="0" w:color="auto"/>
        <w:bottom w:val="none" w:sz="0" w:space="0" w:color="auto"/>
        <w:right w:val="none" w:sz="0" w:space="0" w:color="auto"/>
      </w:divBdr>
    </w:div>
    <w:div w:id="57872508">
      <w:bodyDiv w:val="1"/>
      <w:marLeft w:val="0"/>
      <w:marRight w:val="0"/>
      <w:marTop w:val="0"/>
      <w:marBottom w:val="0"/>
      <w:divBdr>
        <w:top w:val="none" w:sz="0" w:space="0" w:color="auto"/>
        <w:left w:val="none" w:sz="0" w:space="0" w:color="auto"/>
        <w:bottom w:val="none" w:sz="0" w:space="0" w:color="auto"/>
        <w:right w:val="none" w:sz="0" w:space="0" w:color="auto"/>
      </w:divBdr>
    </w:div>
    <w:div w:id="130903384">
      <w:bodyDiv w:val="1"/>
      <w:marLeft w:val="0"/>
      <w:marRight w:val="0"/>
      <w:marTop w:val="0"/>
      <w:marBottom w:val="0"/>
      <w:divBdr>
        <w:top w:val="none" w:sz="0" w:space="0" w:color="auto"/>
        <w:left w:val="none" w:sz="0" w:space="0" w:color="auto"/>
        <w:bottom w:val="none" w:sz="0" w:space="0" w:color="auto"/>
        <w:right w:val="none" w:sz="0" w:space="0" w:color="auto"/>
      </w:divBdr>
    </w:div>
    <w:div w:id="173304347">
      <w:bodyDiv w:val="1"/>
      <w:marLeft w:val="0"/>
      <w:marRight w:val="0"/>
      <w:marTop w:val="0"/>
      <w:marBottom w:val="0"/>
      <w:divBdr>
        <w:top w:val="none" w:sz="0" w:space="0" w:color="auto"/>
        <w:left w:val="none" w:sz="0" w:space="0" w:color="auto"/>
        <w:bottom w:val="none" w:sz="0" w:space="0" w:color="auto"/>
        <w:right w:val="none" w:sz="0" w:space="0" w:color="auto"/>
      </w:divBdr>
    </w:div>
    <w:div w:id="215632705">
      <w:bodyDiv w:val="1"/>
      <w:marLeft w:val="0"/>
      <w:marRight w:val="0"/>
      <w:marTop w:val="0"/>
      <w:marBottom w:val="0"/>
      <w:divBdr>
        <w:top w:val="none" w:sz="0" w:space="0" w:color="auto"/>
        <w:left w:val="none" w:sz="0" w:space="0" w:color="auto"/>
        <w:bottom w:val="none" w:sz="0" w:space="0" w:color="auto"/>
        <w:right w:val="none" w:sz="0" w:space="0" w:color="auto"/>
      </w:divBdr>
    </w:div>
    <w:div w:id="476847855">
      <w:bodyDiv w:val="1"/>
      <w:marLeft w:val="0"/>
      <w:marRight w:val="0"/>
      <w:marTop w:val="0"/>
      <w:marBottom w:val="0"/>
      <w:divBdr>
        <w:top w:val="none" w:sz="0" w:space="0" w:color="auto"/>
        <w:left w:val="none" w:sz="0" w:space="0" w:color="auto"/>
        <w:bottom w:val="none" w:sz="0" w:space="0" w:color="auto"/>
        <w:right w:val="none" w:sz="0" w:space="0" w:color="auto"/>
      </w:divBdr>
    </w:div>
    <w:div w:id="641613668">
      <w:bodyDiv w:val="1"/>
      <w:marLeft w:val="0"/>
      <w:marRight w:val="0"/>
      <w:marTop w:val="0"/>
      <w:marBottom w:val="0"/>
      <w:divBdr>
        <w:top w:val="none" w:sz="0" w:space="0" w:color="auto"/>
        <w:left w:val="none" w:sz="0" w:space="0" w:color="auto"/>
        <w:bottom w:val="none" w:sz="0" w:space="0" w:color="auto"/>
        <w:right w:val="none" w:sz="0" w:space="0" w:color="auto"/>
      </w:divBdr>
    </w:div>
    <w:div w:id="707414720">
      <w:bodyDiv w:val="1"/>
      <w:marLeft w:val="0"/>
      <w:marRight w:val="0"/>
      <w:marTop w:val="0"/>
      <w:marBottom w:val="0"/>
      <w:divBdr>
        <w:top w:val="none" w:sz="0" w:space="0" w:color="auto"/>
        <w:left w:val="none" w:sz="0" w:space="0" w:color="auto"/>
        <w:bottom w:val="none" w:sz="0" w:space="0" w:color="auto"/>
        <w:right w:val="none" w:sz="0" w:space="0" w:color="auto"/>
      </w:divBdr>
    </w:div>
    <w:div w:id="899055575">
      <w:bodyDiv w:val="1"/>
      <w:marLeft w:val="0"/>
      <w:marRight w:val="0"/>
      <w:marTop w:val="0"/>
      <w:marBottom w:val="0"/>
      <w:divBdr>
        <w:top w:val="none" w:sz="0" w:space="0" w:color="auto"/>
        <w:left w:val="none" w:sz="0" w:space="0" w:color="auto"/>
        <w:bottom w:val="none" w:sz="0" w:space="0" w:color="auto"/>
        <w:right w:val="none" w:sz="0" w:space="0" w:color="auto"/>
      </w:divBdr>
    </w:div>
    <w:div w:id="914752080">
      <w:bodyDiv w:val="1"/>
      <w:marLeft w:val="0"/>
      <w:marRight w:val="0"/>
      <w:marTop w:val="0"/>
      <w:marBottom w:val="0"/>
      <w:divBdr>
        <w:top w:val="none" w:sz="0" w:space="0" w:color="auto"/>
        <w:left w:val="none" w:sz="0" w:space="0" w:color="auto"/>
        <w:bottom w:val="none" w:sz="0" w:space="0" w:color="auto"/>
        <w:right w:val="none" w:sz="0" w:space="0" w:color="auto"/>
      </w:divBdr>
    </w:div>
    <w:div w:id="957224635">
      <w:bodyDiv w:val="1"/>
      <w:marLeft w:val="0"/>
      <w:marRight w:val="0"/>
      <w:marTop w:val="0"/>
      <w:marBottom w:val="0"/>
      <w:divBdr>
        <w:top w:val="none" w:sz="0" w:space="0" w:color="auto"/>
        <w:left w:val="none" w:sz="0" w:space="0" w:color="auto"/>
        <w:bottom w:val="none" w:sz="0" w:space="0" w:color="auto"/>
        <w:right w:val="none" w:sz="0" w:space="0" w:color="auto"/>
      </w:divBdr>
    </w:div>
    <w:div w:id="1103843600">
      <w:bodyDiv w:val="1"/>
      <w:marLeft w:val="0"/>
      <w:marRight w:val="0"/>
      <w:marTop w:val="0"/>
      <w:marBottom w:val="0"/>
      <w:divBdr>
        <w:top w:val="none" w:sz="0" w:space="0" w:color="auto"/>
        <w:left w:val="none" w:sz="0" w:space="0" w:color="auto"/>
        <w:bottom w:val="none" w:sz="0" w:space="0" w:color="auto"/>
        <w:right w:val="none" w:sz="0" w:space="0" w:color="auto"/>
      </w:divBdr>
    </w:div>
    <w:div w:id="1120296563">
      <w:bodyDiv w:val="1"/>
      <w:marLeft w:val="0"/>
      <w:marRight w:val="0"/>
      <w:marTop w:val="0"/>
      <w:marBottom w:val="0"/>
      <w:divBdr>
        <w:top w:val="none" w:sz="0" w:space="0" w:color="auto"/>
        <w:left w:val="none" w:sz="0" w:space="0" w:color="auto"/>
        <w:bottom w:val="none" w:sz="0" w:space="0" w:color="auto"/>
        <w:right w:val="none" w:sz="0" w:space="0" w:color="auto"/>
      </w:divBdr>
    </w:div>
    <w:div w:id="1139882455">
      <w:bodyDiv w:val="1"/>
      <w:marLeft w:val="0"/>
      <w:marRight w:val="0"/>
      <w:marTop w:val="0"/>
      <w:marBottom w:val="0"/>
      <w:divBdr>
        <w:top w:val="none" w:sz="0" w:space="0" w:color="auto"/>
        <w:left w:val="none" w:sz="0" w:space="0" w:color="auto"/>
        <w:bottom w:val="none" w:sz="0" w:space="0" w:color="auto"/>
        <w:right w:val="none" w:sz="0" w:space="0" w:color="auto"/>
      </w:divBdr>
    </w:div>
    <w:div w:id="1202280736">
      <w:bodyDiv w:val="1"/>
      <w:marLeft w:val="0"/>
      <w:marRight w:val="0"/>
      <w:marTop w:val="0"/>
      <w:marBottom w:val="0"/>
      <w:divBdr>
        <w:top w:val="none" w:sz="0" w:space="0" w:color="auto"/>
        <w:left w:val="none" w:sz="0" w:space="0" w:color="auto"/>
        <w:bottom w:val="none" w:sz="0" w:space="0" w:color="auto"/>
        <w:right w:val="none" w:sz="0" w:space="0" w:color="auto"/>
      </w:divBdr>
    </w:div>
    <w:div w:id="1271084813">
      <w:bodyDiv w:val="1"/>
      <w:marLeft w:val="0"/>
      <w:marRight w:val="0"/>
      <w:marTop w:val="0"/>
      <w:marBottom w:val="0"/>
      <w:divBdr>
        <w:top w:val="none" w:sz="0" w:space="0" w:color="auto"/>
        <w:left w:val="none" w:sz="0" w:space="0" w:color="auto"/>
        <w:bottom w:val="none" w:sz="0" w:space="0" w:color="auto"/>
        <w:right w:val="none" w:sz="0" w:space="0" w:color="auto"/>
      </w:divBdr>
    </w:div>
    <w:div w:id="1591893500">
      <w:bodyDiv w:val="1"/>
      <w:marLeft w:val="0"/>
      <w:marRight w:val="0"/>
      <w:marTop w:val="0"/>
      <w:marBottom w:val="0"/>
      <w:divBdr>
        <w:top w:val="none" w:sz="0" w:space="0" w:color="auto"/>
        <w:left w:val="none" w:sz="0" w:space="0" w:color="auto"/>
        <w:bottom w:val="none" w:sz="0" w:space="0" w:color="auto"/>
        <w:right w:val="none" w:sz="0" w:space="0" w:color="auto"/>
      </w:divBdr>
    </w:div>
    <w:div w:id="2129424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exhibitions.warhol.org/tc21/" TargetMode="External"/><Relationship Id="rId12" Type="http://schemas.openxmlformats.org/officeDocument/2006/relationships/hyperlink" Target="https://www.warhol.org/wp-content/uploads/2017/10/AssessmentRubric_TheAndyWarholMuseum.xlsx"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exhibitions.warhol.org/tc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1085</Words>
  <Characters>6190</Characters>
  <Application>Microsoft Macintosh Word</Application>
  <DocSecurity>0</DocSecurity>
  <Lines>51</Lines>
  <Paragraphs>14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Overview</vt:lpstr>
      <vt:lpstr>    Grade levels</vt:lpstr>
      <vt:lpstr>    Subjects</vt:lpstr>
      <vt:lpstr>    Pennsylvania Standards for the Arts and Humanities</vt:lpstr>
      <vt:lpstr>    Objectives</vt:lpstr>
      <vt:lpstr>About the Art</vt:lpstr>
      <vt:lpstr>Points of View</vt:lpstr>
      <vt:lpstr>Discussion Questions</vt:lpstr>
      <vt:lpstr>Materials</vt:lpstr>
      <vt:lpstr>Procedure</vt:lpstr>
      <vt:lpstr>    Assessment</vt:lpstr>
      <vt:lpstr/>
      <vt:lpstr/>
      <vt:lpstr/>
    </vt:vector>
  </TitlesOfParts>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Gonzalez, Desi</cp:lastModifiedBy>
  <cp:revision>6</cp:revision>
  <dcterms:created xsi:type="dcterms:W3CDTF">2017-08-29T18:00:00Z</dcterms:created>
  <dcterms:modified xsi:type="dcterms:W3CDTF">2017-10-26T15:57:00Z</dcterms:modified>
</cp:coreProperties>
</file>